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3a85d0a9d540ce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15920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STJEPANA KEFELJE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2.201.217,67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2.498.995,60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2.090.480,19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2.477.696,79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110.737,48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21.298,81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19,2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58.339,79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647.227,39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1109,4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58.339,79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647.227,39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1109,4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625.928,58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BILJEŠKE UZ FINANCIJSKE IZVJEŠTAJE</w:t>
      </w:r>
    </w:p>
    <w:p>
      <w:r>
        <w:t xml:space="preserve">za razdoblje od 1.siječnja do 31. prosinca 2025. godine</w:t>
      </w:r>
    </w:p>
    <w:p>
      <w:r>
        <w:t xml:space="preserve"> </w:t>
      </w:r>
    </w:p>
    <w:p>
      <w:r>
        <w:t xml:space="preserve"> </w:t>
      </w:r>
    </w:p>
    <w:p>
      <w:r>
        <w:t xml:space="preserve">Financijski izvještaj sastavljen je  na propisanim obrascima uz koje su obvezne i Bilješke.</w:t>
      </w:r>
    </w:p>
    <w:p>
      <w:r>
        <w:t xml:space="preserve">Djelatnost OŠ Stjepana Kefelje je osnovno obrazovanje. Škola je proračunski korisnik Grada Kutine i od 1.1.2019. godine Škola nema svoj ŽR  već se poslovanje obavlja preko jedinstvenog računa gradske riznice.</w:t>
      </w:r>
    </w:p>
    <w:p>
      <w:r>
        <w:t xml:space="preserve">Odgovorna osoba za zastupanje je ravnatelj škole Ivica Petrović.</w:t>
      </w:r>
    </w:p>
    <w:p>
      <w:r>
        <w:t xml:space="preserve">Voditelj računovodstva Verica Košutić,  odgovorna je osoba za sastavljanje financijskih izvještaja.</w:t>
      </w:r>
    </w:p>
    <w:p>
      <w:r>
        <w:t xml:space="preserve"> Plaće i naknade isplaćuju se putem računa Državne riznice u okviru Ministarstva znanosti i obrazovanja.</w:t>
      </w:r>
    </w:p>
    <w:p>
      <w:r>
        <w:t xml:space="preserve">Uz osnovnu djelatnost obrazovanja, Škola ostvaruje vlastite prihode od iznajmljivanja prostora, stanarine i naplate štete.</w:t>
      </w:r>
    </w:p>
    <w:p>
      <w:r>
        <w:t xml:space="preserve">U sklopu redovne djelatnosti organizirana je prehrana u školskoj kuhinji te produženi boravak učenika i rad pomoćnika u nastavi. Plaće za učiteljice u produženom boravku i za pomoćnike u nastavi isplaćuju se putem gradske riznice, a na teret paušala od roditelja (39,82 € po djetetu) i ostatak od Grada iz sredstava komunalne naknade.</w:t>
      </w:r>
    </w:p>
    <w:p>
      <w:r>
        <w:t xml:space="preserve">Plaće pomoćnika u nastavi terete sredstva Pomoći unutar projekta EU i 12,897% na teret Grada, također iz sredstava komunalne naknade.</w:t>
      </w:r>
    </w:p>
    <w:p>
      <w:r>
        <w:t xml:space="preserve">Prehranu učenika financira MZO na nivou države s 1,328 € po obroku dnevno.</w:t>
      </w:r>
    </w:p>
    <w:p>
      <w:r>
        <w:t xml:space="preserve">Rad se odvija u matičnoj školi i područnoj školi Repušnica.</w:t>
      </w:r>
    </w:p>
    <w:p>
      <w:r>
        <w:t xml:space="preserve"> </w:t>
      </w:r>
    </w:p>
    <w:p>
      <w:pPr>
        <w:pStyle w:val="ListParagraph"/>
        <w:numPr>
          <w:ilvl w:val="0"/>
          <w:numId w:val="2"/>
        </w:numPr>
      </w:pPr>
      <w:r>
        <w:rPr>
          <w:b/>
        </w:rPr>
        <w:t xml:space="preserve">POPIS UGOVORNIH ODNOSA </w:t>
      </w:r>
      <w:r>
        <w:t xml:space="preserve">u računovodstvu nema evidentiranih ugovornih odnosa.</w:t>
      </w:r>
    </w:p>
    <w:p>
      <w:pPr>
        <w:pStyle w:val="ListParagraph"/>
        <w:numPr>
          <w:ilvl w:val="0"/>
          <w:numId w:val="2"/>
        </w:numPr>
      </w:pPr>
      <w:r>
        <w:rPr>
          <w:b/>
        </w:rPr>
        <w:t xml:space="preserve">POPIS SUDSKIH SPOROVA</w:t>
      </w:r>
      <w:r>
        <w:t xml:space="preserve"> ŠKOLA nema sudskih sporova.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1.749.735,77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1.846.922,76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105,6</w:t>
            </w:r>
          </w:p>
        </w:tc>
      </w:tr>
    </w:tbl>
    <w:p>
      <w:pPr>
        <w:spacing w:before="0" w:after="0"/>
      </w:pPr>
    </w:p>
    <w:p>
      <w:r>
        <w:t xml:space="preserve">6361 Tekuće pomoći proračunskim korisnicima iz proračuna koji nije nadležan</w:t>
      </w:r>
    </w:p>
    <w:p>
      <w:r>
        <w:t xml:space="preserve">       Odnosi se na pomoć MZOM za nabavu radnih udžbenika, prehrana učenika i rashoda za zaposlene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3.897,77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4.549,19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116,7</w:t>
            </w:r>
          </w:p>
        </w:tc>
      </w:tr>
    </w:tbl>
    <w:p>
      <w:pPr>
        <w:spacing w:before="0" w:after="0"/>
      </w:pPr>
    </w:p>
    <w:p>
      <w:r>
        <w:t xml:space="preserve">Odnosi se na nabavu udžbenika i knjiga za školsku knjižnicu od MZOM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88.474,52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77.726,00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87,9</w:t>
            </w:r>
          </w:p>
        </w:tc>
      </w:tr>
    </w:tbl>
    <w:p>
      <w:pPr>
        <w:spacing w:before="0" w:after="0"/>
      </w:pPr>
    </w:p>
    <w:p>
      <w:r>
        <w:t xml:space="preserve">Prihodi u sklopu financiranja pomoćnika u nastavi i Erasmus+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154.624,77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odnosi se na prihvaćen ZNS za projekt Jednosmjenske nastave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Zdravstvene i veterinarske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477,81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10.051,40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2103,6</w:t>
            </w:r>
          </w:p>
        </w:tc>
      </w:tr>
    </w:tbl>
    <w:p>
      <w:pPr>
        <w:spacing w:before="0" w:after="0"/>
      </w:pPr>
    </w:p>
    <w:p>
      <w:r>
        <w:t xml:space="preserve">u ovoj godini je većina djelatnika obavila sistematske preglede.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262,64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11.514,74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4384,2</w:t>
            </w:r>
          </w:p>
        </w:tc>
      </w:tr>
    </w:tbl>
    <w:p>
      <w:pPr>
        <w:spacing w:before="0" w:after="0"/>
      </w:pPr>
    </w:p>
    <w:p>
      <w:r>
        <w:t xml:space="preserve">povećani su zbog dodatnog troška oko obilježavanja pedesete obljetnice 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Financijski rashodi (šifre 341+342+343)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1.100,76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odnose se na postupak realizacije kredita za financiranje projekta Jednosmjenskog rada.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Dodatna ulaganja na građevinskim objektima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613.094,82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za projekt Jednosmjenskog rada po priznatoj okončanoj  situacije(ZNS).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Neproizvedena dugotrajna imovina (šifre 011+012-019)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427.739,06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427.739,06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</w:t>
            </w:r>
          </w:p>
        </w:tc>
      </w:tr>
    </w:tbl>
    <w:p>
      <w:pPr>
        <w:spacing w:before="0" w:after="0"/>
      </w:pPr>
    </w:p>
    <w:p>
      <w:r>
        <w:t xml:space="preserve">U 2025. godini proveli smo ažuriranje imovine unutar klase „0“ (komunikacijska oprema, sportska i glazbena oprema) prebačene su na ostalu uredsku opremu i uređaje, strojeve i opremu za ostalu namjenu.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 (šifre '021 i 02921' + '022 i 02922' + '023 i 02923' + '024 i 02924' + '025 i 02925' + '026 i 02926')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1.713.813,14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1.638.398,49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95,6</w:t>
            </w:r>
          </w:p>
        </w:tc>
      </w:tr>
    </w:tbl>
    <w:p>
      <w:pPr>
        <w:spacing w:before="0" w:after="0"/>
      </w:pPr>
    </w:p>
    <w:tbl>
      <w:tblPr>
        <w:tblStyle w:val="TableGrid"/>
        <w:tblW w:w="5000" w:type="pct"/>
      </w:tblPr>
      <w:tblGrid>
        <w:gridCol w:w="2761"/>
        <w:gridCol w:w="3800"/>
        <w:gridCol w:w="3063"/>
      </w:tblGrid>
      <w:tr>
        <w:trPr>
          <w:trHeight w:val="878" w:hRule="atLeast"/>
        </w:trPr>
        <w:tc>
          <w:tcPr>
            <w:tcW w:w="1434" w:type="pct"/>
            <w:vAlign w:val="center"/>
          </w:tcPr>
          <w:p>
            <w:r>
              <w:t xml:space="preserve">VRSTA IMOVINE</w:t>
            </w:r>
          </w:p>
        </w:tc>
        <w:tc>
          <w:tcPr>
            <w:tcW w:w="1974" w:type="pct"/>
            <w:vAlign w:val="center"/>
          </w:tcPr>
          <w:p>
            <w:r>
              <w:t xml:space="preserve">NABAVLJENO</w:t>
            </w:r>
          </w:p>
        </w:tc>
        <w:tc>
          <w:tcPr>
            <w:tcW w:w="1591" w:type="pct"/>
            <w:vAlign w:val="center"/>
          </w:tcPr>
          <w:p>
            <w:r>
              <w:t xml:space="preserve">RASHOD/ISKNJIŽENJE</w:t>
            </w:r>
          </w:p>
        </w:tc>
      </w:tr>
      <w:tr>
        <w:trPr>
          <w:trHeight w:val="1214" w:hRule="atLeast"/>
        </w:trPr>
        <w:tc>
          <w:tcPr>
            <w:tcW w:w="1434" w:type="pct"/>
            <w:vAlign w:val="center"/>
          </w:tcPr>
          <w:p>
            <w:r>
              <w:t xml:space="preserve">0212 Građevinski objekti</w:t>
            </w:r>
          </w:p>
        </w:tc>
        <w:tc>
          <w:tcPr>
            <w:tcW w:w="1974" w:type="pct"/>
            <w:vAlign w:val="center"/>
          </w:tcPr>
          <w:p>
            <w:r>
              <w:t xml:space="preserve"> </w:t>
            </w:r>
          </w:p>
        </w:tc>
        <w:tc>
          <w:tcPr>
            <w:tcW w:w="1591" w:type="pct"/>
            <w:vAlign w:val="center"/>
          </w:tcPr>
          <w:p>
            <w:r>
              <w:t xml:space="preserve"> </w:t>
            </w:r>
          </w:p>
        </w:tc>
      </w:tr>
      <w:tr>
        <w:trPr>
          <w:trHeight w:val="1214" w:hRule="atLeast"/>
        </w:trPr>
        <w:tc>
          <w:tcPr>
            <w:tcW w:w="1434" w:type="pct"/>
            <w:vAlign w:val="center"/>
          </w:tcPr>
          <w:p>
            <w:r>
              <w:t xml:space="preserve">02211 Računalna oprema</w:t>
            </w:r>
          </w:p>
        </w:tc>
        <w:tc>
          <w:tcPr>
            <w:tcW w:w="1974" w:type="pct"/>
            <w:vAlign w:val="center"/>
          </w:tcPr>
          <w:p>
            <w:r>
              <w:t xml:space="preserve"> </w:t>
            </w:r>
          </w:p>
        </w:tc>
        <w:tc>
          <w:tcPr>
            <w:tcW w:w="1591" w:type="pct"/>
            <w:vAlign w:val="center"/>
          </w:tcPr>
          <w:p>
            <w:r>
              <w:t xml:space="preserve">331,81</w:t>
            </w:r>
          </w:p>
        </w:tc>
      </w:tr>
      <w:tr>
        <w:trPr>
          <w:trHeight w:val="1550" w:hRule="atLeast"/>
        </w:trPr>
        <w:tc>
          <w:tcPr>
            <w:tcW w:w="1434" w:type="pct"/>
            <w:vAlign w:val="center"/>
          </w:tcPr>
          <w:p>
            <w:r>
              <w:t xml:space="preserve">02212 Uredski i ostali namještaj</w:t>
            </w:r>
          </w:p>
        </w:tc>
        <w:tc>
          <w:tcPr>
            <w:tcW w:w="1974" w:type="pct"/>
            <w:vAlign w:val="center"/>
          </w:tcPr>
          <w:p>
            <w:r>
              <w:t xml:space="preserve">7260,33</w:t>
            </w:r>
          </w:p>
        </w:tc>
        <w:tc>
          <w:tcPr>
            <w:tcW w:w="1591" w:type="pct"/>
            <w:vAlign w:val="center"/>
          </w:tcPr>
          <w:p>
            <w:r>
              <w:t xml:space="preserve">4632,99</w:t>
            </w:r>
          </w:p>
        </w:tc>
      </w:tr>
      <w:tr>
        <w:trPr>
          <w:trHeight w:val="1214" w:hRule="atLeast"/>
        </w:trPr>
        <w:tc>
          <w:tcPr>
            <w:tcW w:w="1434" w:type="pct"/>
            <w:vAlign w:val="center"/>
          </w:tcPr>
          <w:p>
            <w:r>
              <w:t xml:space="preserve">02219 Ostala uredska oprema</w:t>
            </w:r>
          </w:p>
        </w:tc>
        <w:tc>
          <w:tcPr>
            <w:tcW w:w="1974" w:type="pct"/>
            <w:vAlign w:val="center"/>
          </w:tcPr>
          <w:p>
            <w:r>
              <w:t xml:space="preserve">6083,37</w:t>
            </w:r>
          </w:p>
        </w:tc>
        <w:tc>
          <w:tcPr>
            <w:tcW w:w="1591" w:type="pct"/>
            <w:vAlign w:val="center"/>
          </w:tcPr>
          <w:p>
            <w:r>
              <w:t xml:space="preserve">1.391,53</w:t>
            </w:r>
          </w:p>
        </w:tc>
      </w:tr>
      <w:tr>
        <w:trPr>
          <w:trHeight w:val="1550" w:hRule="atLeast"/>
        </w:trPr>
        <w:tc>
          <w:tcPr>
            <w:tcW w:w="1434" w:type="pct"/>
            <w:vAlign w:val="center"/>
          </w:tcPr>
          <w:p>
            <w:r>
              <w:t xml:space="preserve">02231 Oprema za grijanje, hlađenje..</w:t>
            </w:r>
          </w:p>
        </w:tc>
        <w:tc>
          <w:tcPr>
            <w:tcW w:w="1974" w:type="pct"/>
            <w:vAlign w:val="center"/>
          </w:tcPr>
          <w:p>
            <w:r>
              <w:t xml:space="preserve"> </w:t>
            </w:r>
          </w:p>
        </w:tc>
        <w:tc>
          <w:tcPr>
            <w:tcW w:w="1591" w:type="pct"/>
            <w:vAlign w:val="center"/>
          </w:tcPr>
          <w:p>
            <w:r>
              <w:t xml:space="preserve"> </w:t>
            </w:r>
          </w:p>
        </w:tc>
      </w:tr>
      <w:tr>
        <w:trPr>
          <w:trHeight w:val="1550" w:hRule="atLeast"/>
        </w:trPr>
        <w:tc>
          <w:tcPr>
            <w:tcW w:w="1434" w:type="pct"/>
            <w:vAlign w:val="center"/>
          </w:tcPr>
          <w:p>
            <w:r>
              <w:t xml:space="preserve">02259 Ostali instrumenti, uređaji i strojevi</w:t>
            </w:r>
          </w:p>
        </w:tc>
        <w:tc>
          <w:tcPr>
            <w:tcW w:w="1974" w:type="pct"/>
            <w:vAlign w:val="center"/>
          </w:tcPr>
          <w:p>
            <w:r>
              <w:t xml:space="preserve"> </w:t>
            </w:r>
          </w:p>
        </w:tc>
        <w:tc>
          <w:tcPr>
            <w:tcW w:w="1591" w:type="pct"/>
            <w:vAlign w:val="center"/>
          </w:tcPr>
          <w:p>
            <w:r>
              <w:t xml:space="preserve"> </w:t>
            </w:r>
          </w:p>
        </w:tc>
      </w:tr>
      <w:tr>
        <w:trPr>
          <w:trHeight w:val="878" w:hRule="atLeast"/>
        </w:trPr>
        <w:tc>
          <w:tcPr>
            <w:tcW w:w="1434" w:type="pct"/>
            <w:vAlign w:val="center"/>
          </w:tcPr>
          <w:p>
            <w:r>
              <w:t xml:space="preserve">02273 Oprema</w:t>
            </w:r>
          </w:p>
        </w:tc>
        <w:tc>
          <w:tcPr>
            <w:tcW w:w="1974" w:type="pct"/>
            <w:vAlign w:val="center"/>
          </w:tcPr>
          <w:p>
            <w:r>
              <w:t xml:space="preserve"> </w:t>
            </w:r>
          </w:p>
        </w:tc>
        <w:tc>
          <w:tcPr>
            <w:tcW w:w="1591" w:type="pct"/>
            <w:vAlign w:val="center"/>
          </w:tcPr>
          <w:p>
            <w:r>
              <w:t xml:space="preserve"> </w:t>
            </w:r>
          </w:p>
        </w:tc>
      </w:tr>
      <w:tr>
        <w:trPr>
          <w:trHeight w:val="878" w:hRule="atLeast"/>
        </w:trPr>
        <w:tc>
          <w:tcPr>
            <w:tcW w:w="1434" w:type="pct"/>
            <w:vAlign w:val="center"/>
          </w:tcPr>
          <w:p>
            <w:r>
              <w:t xml:space="preserve">02411 Knjige u knjižnici</w:t>
            </w:r>
          </w:p>
        </w:tc>
        <w:tc>
          <w:tcPr>
            <w:tcW w:w="1974" w:type="pct"/>
            <w:vAlign w:val="center"/>
          </w:tcPr>
          <w:p>
            <w:r>
              <w:t xml:space="preserve">4467,18  </w:t>
            </w:r>
          </w:p>
        </w:tc>
        <w:tc>
          <w:tcPr>
            <w:tcW w:w="1591" w:type="pct"/>
            <w:vAlign w:val="center"/>
          </w:tcPr>
          <w:p>
            <w:r>
              <w:t xml:space="preserve"> </w:t>
            </w:r>
          </w:p>
        </w:tc>
      </w:tr>
      <w:tr>
        <w:trPr>
          <w:trHeight w:val="878" w:hRule="atLeast"/>
        </w:trPr>
        <w:tc>
          <w:tcPr>
            <w:tcW w:w="1434" w:type="pct"/>
            <w:vAlign w:val="center"/>
          </w:tcPr>
          <w:p>
            <w:r>
              <w:t xml:space="preserve">02411 Udžbenici</w:t>
            </w:r>
          </w:p>
        </w:tc>
        <w:tc>
          <w:tcPr>
            <w:tcW w:w="1974" w:type="pct"/>
            <w:vAlign w:val="center"/>
          </w:tcPr>
          <w:p>
            <w:r>
              <w:t xml:space="preserve">3809,19</w:t>
            </w:r>
          </w:p>
        </w:tc>
        <w:tc>
          <w:tcPr>
            <w:tcW w:w="1591" w:type="pct"/>
            <w:vAlign w:val="center"/>
          </w:tcPr>
          <w:p>
            <w:r>
              <w:t xml:space="preserve"> </w:t>
            </w:r>
          </w:p>
        </w:tc>
      </w:tr>
      <w:tr>
        <w:trPr>
          <w:trHeight w:val="1550" w:hRule="atLeast"/>
        </w:trPr>
        <w:tc>
          <w:tcPr>
            <w:tcW w:w="1434" w:type="pct"/>
            <w:vAlign w:val="center"/>
          </w:tcPr>
          <w:p>
            <w:r>
              <w:t xml:space="preserve">0511 poslovni objekti u pripremi</w:t>
            </w:r>
          </w:p>
        </w:tc>
        <w:tc>
          <w:tcPr>
            <w:tcW w:w="1974" w:type="pct"/>
            <w:vAlign w:val="center"/>
          </w:tcPr>
          <w:p>
            <w:r>
              <w:t xml:space="preserve">494.300,02</w:t>
            </w:r>
          </w:p>
        </w:tc>
        <w:tc>
          <w:tcPr>
            <w:tcW w:w="1591" w:type="pct"/>
            <w:vAlign w:val="center"/>
          </w:tcPr>
          <w:p>
            <w:r>
              <w:t xml:space="preserve"> </w:t>
            </w:r>
          </w:p>
        </w:tc>
      </w:tr>
      <w:tr>
        <w:trPr>
          <w:trHeight w:val="878" w:hRule="atLeast"/>
        </w:trPr>
        <w:tc>
          <w:tcPr>
            <w:tcW w:w="1434" w:type="pct"/>
            <w:vAlign w:val="center"/>
          </w:tcPr>
          <w:p>
            <w:r>
              <w:t xml:space="preserve">04211 Sitni inventar</w:t>
            </w:r>
          </w:p>
        </w:tc>
        <w:tc>
          <w:tcPr>
            <w:tcW w:w="1974" w:type="pct"/>
            <w:vAlign w:val="center"/>
          </w:tcPr>
          <w:p>
            <w:r>
              <w:t xml:space="preserve">3046,33</w:t>
            </w:r>
          </w:p>
        </w:tc>
        <w:tc>
          <w:tcPr>
            <w:tcW w:w="1591" w:type="pct"/>
            <w:vAlign w:val="center"/>
          </w:tcPr>
          <w:p>
            <w:r>
              <w:t xml:space="preserve">3141,94</w:t>
            </w:r>
          </w:p>
        </w:tc>
      </w:tr>
      <w:tr>
        <w:trPr>
          <w:trHeight w:val="542" w:hRule="atLeast"/>
        </w:trPr>
        <w:tc>
          <w:tcPr>
            <w:tcW w:w="1434" w:type="pct"/>
            <w:vAlign w:val="center"/>
          </w:tcPr>
          <w:p>
            <w:r>
              <w:t xml:space="preserve">UKUPNO</w:t>
            </w:r>
          </w:p>
        </w:tc>
        <w:tc>
          <w:tcPr>
            <w:tcW w:w="1974" w:type="pct"/>
            <w:vAlign w:val="center"/>
          </w:tcPr>
          <w:p>
            <w:r>
              <w:t xml:space="preserve">518.966,42</w:t>
            </w:r>
          </w:p>
        </w:tc>
        <w:tc>
          <w:tcPr>
            <w:tcW w:w="1591" w:type="pct"/>
            <w:vAlign w:val="center"/>
          </w:tcPr>
          <w:p>
            <w:r>
              <w:t xml:space="preserve">9.498,27</w:t>
            </w:r>
          </w:p>
        </w:tc>
      </w:tr>
    </w:tbl>
    <w:p>
      <w:r>
        <w:t xml:space="preserve">Imovina je nabavljena iz: a) decentraliziranih izvora  14143,7</w:t>
      </w:r>
    </w:p>
    <w:p>
      <w:r>
        <w:t xml:space="preserve">                                           b) komunalne naknade      12512,5</w:t>
      </w:r>
    </w:p>
    <w:p>
      <w:r>
        <w:t xml:space="preserve">                                           c) vlastita sredstva               2788,18</w:t>
      </w:r>
    </w:p>
    <w:p>
      <w:r>
        <w:t xml:space="preserve">                                           d) sredstva pomoći            607.365,38</w:t>
      </w:r>
    </w:p>
    <w:p>
      <w:r>
        <w:t xml:space="preserve">                                           e) donacije                         139,0</w:t>
      </w:r>
    </w:p>
    <w:p>
      <w:r>
        <w:t xml:space="preserve">                                           f)  kapitalni od grada       10278,63</w:t>
      </w:r>
    </w:p>
    <w:p>
      <w:r>
        <w:t xml:space="preserve">                                          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Dugotrajna nefinancijska imovina u pripremi (šifre 051 do 056)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37.730,33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494.300,02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1310,1</w:t>
            </w:r>
          </w:p>
        </w:tc>
      </w:tr>
    </w:tbl>
    <w:p>
      <w:pPr>
        <w:spacing w:before="0" w:after="0"/>
      </w:pPr>
    </w:p>
    <w:p>
      <w:r>
        <w:t xml:space="preserve">U tijeku je dogradnja škole po projektu Jednosmjenska nastava, te se odobrene situacije nalaze na kontu Imovine u pripremi, kao i, za sada, nerealizirani projekti.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Ostala potraživanja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7.112,42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1.129,10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15,9</w:t>
            </w:r>
          </w:p>
        </w:tc>
      </w:tr>
    </w:tbl>
    <w:p>
      <w:pPr>
        <w:spacing w:before="0" w:after="0"/>
      </w:pPr>
    </w:p>
    <w:p>
      <w:r>
        <w:t xml:space="preserve">Djelatnicima koji su uključeni u Erasmus+ projekt, prošle godine isplaćeni su predujmovi za sudjelovanja na stručnom usavršavanju koja su se održala  u 2025. godini.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pomoći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14.209,46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             U tijeku je projekt Jednosmjenskog rada te se potraživanje odnosi na nedoznačeni dio sredstava  za pomoćnike u nastavi.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Kontinuirani rashodi budućih razdoblja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131.209,93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Zbog novog načina knjiženja plaća u 2025. godini nismo koristili navedeni konto.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(šifre 23+24+25+26+27+29)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180.392,94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1.027.580,85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569,6</w:t>
            </w:r>
          </w:p>
        </w:tc>
      </w:tr>
    </w:tbl>
    <w:p>
      <w:pPr>
        <w:spacing w:before="0" w:after="0"/>
      </w:pPr>
    </w:p>
    <w:p>
      <w:r>
        <w:t xml:space="preserve">Zbog novog načina knjiženja na pojedinim stavkama imamo značajnu razliku u odnosu na početno stanje. S konta 239 prebačena su stanja na 276. Također EU sredstva se knjiže na 275. Na 245 je neplaćena nedospjela situacija za Jednosmjenski rad.           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Rezultat - višak/manjak (šifre 9221-9222)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49.886,17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-602.444,57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-1207,6</w:t>
            </w:r>
          </w:p>
        </w:tc>
      </w:tr>
    </w:tbl>
    <w:p>
      <w:pPr>
        <w:spacing w:before="0" w:after="0"/>
      </w:pPr>
    </w:p>
    <w:p>
      <w:r>
        <w:t xml:space="preserve">Sukladno čl. 82.  stavak 1. Pravilnika, provedena je korekcija rezultata za prijenose kapitalnih sredstava u iznosu 33.001,33eura. Također je promijenjen rezultat za pogrešno knjižen obračun povrata poreza iz 2024. godine za iznos 219,96€.</w:t>
      </w:r>
    </w:p>
    <w:p>
      <w:r>
        <w:t xml:space="preserve"> </w:t>
      </w:r>
    </w:p>
    <w:p>
      <w:r>
        <w:t xml:space="preserve">Podatak u Bilanci je naveden nakon provedene korekcije rezultata i razlikuje se od podataka u Obrascu PR-RAS za navedenu korekciju.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Izvanbilančni zapisi (=0)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                 Ove godine uveli smo u vanbilančnu imovinu i sredstva EU ( Erasmusm 42.739,oo€ i Potraživanja od EU fondova-Jednosmjenski rad, u iznosu 2.328.539,40€.</w:t>
      </w:r>
    </w:p>
    <w:p>
      <w:r>
        <w:t xml:space="preserve">                  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Osnovno obrazovanje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2.058.494,79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3.026.384,86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147,0</w:t>
            </w:r>
          </w:p>
        </w:tc>
      </w:tr>
    </w:tbl>
    <w:p>
      <w:pPr>
        <w:spacing w:before="0" w:after="0"/>
      </w:pPr>
    </w:p>
    <w:p>
      <w:r>
        <w:t xml:space="preserve">Osnovno obrazovanje </w:t>
      </w:r>
    </w:p>
    <w:p>
      <w:r>
        <w:t xml:space="preserve">Škola obavlja djelatnost osnovnog obrazovanja te se podatak odnosi na troškove obrazovanja.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Dodatne usluge u obrazovanju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90.325,19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98.539,32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109,1</w:t>
            </w:r>
          </w:p>
        </w:tc>
      </w:tr>
    </w:tbl>
    <w:p>
      <w:pPr>
        <w:spacing w:before="0" w:after="0"/>
      </w:pPr>
    </w:p>
    <w:p>
      <w:r>
        <w:t xml:space="preserve">  096 Dodatne usluge u obrazovanju odnosi se namirnice za prehranu učenika u školskoj kuhinji. </w:t>
      </w:r>
    </w:p>
    <w:p>
      <w:r>
        <w:t xml:space="preserve"> 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vrijednosti i obujmu imovine (šifre 91511+91512)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687,50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97.954,13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915. Promjene u obujmu imovine – u 2025.zbog novog načina knjiženja kroz 915 smo proveli i ispravak vrijednosti i imovinu koja nije imala vrijednost, a isknjižena je iz evidencije. Ispravkom vrijednosti je umanjena vrijednost imovine za  88.753,39€, a rashodom imovine bez knjigovodstvene vrijednosti, za 9.200,74€.</w:t>
      </w:r>
    </w:p>
    <w:p>
      <w:r>
        <w:t xml:space="preserve">Naknadno smo knjižili projektnu dokumentaciju ograde u PŠ Repušnici koja je još iz 2023. godine, ali je propušteno uvođenje u evidenciju.</w:t>
      </w:r>
    </w:p>
    <w:p>
      <w:r>
        <w:t xml:space="preserve">Projekt nije realiziran ali nismo dobili ni službeni dokument da se odustaje od projekta.</w:t>
      </w:r>
    </w:p>
    <w:p>
      <w:r>
        <w:t xml:space="preserve"> </w:t>
      </w:r>
    </w:p>
    <w:p>
      <w:r>
        <w:t xml:space="preserve"> 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D23  Obveze za materijalne rashode-prekoračenje preko360 dana odnose se na prekoračenje za neplaćene račune za sigurnosno ispitivanje  plinskih trošila „Sporedno zanimanje“ u iznosu 410 eura. Nakon što u gradskoj riznici nisu uspjeli izvršiti plaćanje (obrt i ŽR ugašeni prije par godina) ustanovljeno je da je navedena usluga izvršena od osobe koja nema niti obrt, niti važeći certifikat. Navedena situacija još je uvijek u postupku rješavanja.</w:t>
      </w:r>
    </w:p>
    <w:p>
      <w:r>
        <w:t xml:space="preserve">Prekoračenje roka plaćanje 1-60 dana odnosi se na račun za nabavljene knjige za školsku knjižnicu, a koji je djelomično naknadno uveden u evidenciju.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Ukupno obveze za rashode poslovanja (šifre D231+D232+D234+D235+D236+D237+D 238+D239)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. D23  Obveze za materijalne rashode-prekoračenje preko360 dana odnose se na prekoračenje za neplaćene račune za sigurnosno ispitivanje  plinskih trošila „Sporedno zanimanje“ u iznosu 410 eura. Nakon što u gradskoj riznici nisu uspjeli izvršiti plaćanje (obrt i ŽR ugašeni prije par godina) ustanovljeno je da je navedena usluga izvršena od osobe koja nema niti obrt, niti važeći certifikat. Navedena situacija još je uvijek u postupku rješavanja.</w:t>
      </w:r>
    </w:p>
    <w:p>
      <w:r>
        <w:t xml:space="preserve">Prekoračenje roka plaćanje 1-60 dana odnosi se na račun za nabavljene knjige za školsku knjižnicu, a koji je djelomično naknadno uveden u evidenciju.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Na 510 obrascu Program Unije, evidentirali smo Erasmus projekt.</w:t>
      </w:r>
    </w:p>
    <w:p>
      <w:r>
        <w:t xml:space="preserve">Na 561 Europski socijalni fonad, evidentirali smo projekt pomoćnika u nastavi.</w:t>
      </w:r>
    </w:p>
    <w:p>
      <w:r>
        <w:t xml:space="preserve">Na 581 Mehanizam za oporavak i otpornost-bespovratna sredstva, evidentirali smo projekt Jednosmjenski rad.</w:t>
      </w:r>
    </w:p>
    <w:p/>
  </w:body>
</w:document>
</file>

<file path=word/numbering.xml><?xml version="1.0" encoding="utf-8"?>
<w:numbering xmlns:w="http://schemas.openxmlformats.org/wordprocessingml/2006/main">
  <w:abstractNum w:abstractNumId="1">
    <w:multiLevelType w:val="hybridMultilevel"/>
    <w:name w:val="decima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  <w:style xmlns:w="http://schemas.openxmlformats.org/wordprocessingml/2006/main" w:type="paragraph" w:styleId="ListParagraph">
    <w:name w:val="List Paragraph"/>
    <w:next w:val="List Paragraph"/>
    <w:pPr>
      <w:keepNext w:val="0"/>
      <w:keepLines w:val="0"/>
      <w:spacing w:before="0" w:after="0" w:line="240" w:lineRule="auto"/>
      <w:ind w:start="720" w:end="0" w:firstLine="0"/>
      <w:contextualSpacing/>
    </w:p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40aafa52cb24876" /><Relationship Type="http://schemas.openxmlformats.org/officeDocument/2006/relationships/numbering" Target="/word/numbering.xml" Id="Rf1e70213fef94cad" /></Relationships>
</file>